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1AE5" w14:textId="77777777" w:rsidR="00E718D8" w:rsidRDefault="00E718D8" w:rsidP="00E718D8">
      <w:pPr>
        <w:jc w:val="center"/>
        <w:outlineLvl w:val="0"/>
        <w:rPr>
          <w:rFonts w:ascii="宋体" w:eastAsia="宋体" w:hAnsi="宋体" w:cs="Arial"/>
          <w:b/>
          <w:color w:val="333333"/>
          <w:sz w:val="48"/>
          <w:szCs w:val="48"/>
          <w:shd w:val="clear" w:color="auto" w:fill="FFFFFF"/>
        </w:rPr>
      </w:pPr>
      <w:bookmarkStart w:id="0" w:name="_Toc31610"/>
      <w:r>
        <w:rPr>
          <w:rFonts w:ascii="宋体" w:eastAsia="宋体" w:hAnsi="宋体" w:cs="Arial"/>
          <w:b/>
          <w:noProof/>
          <w:color w:val="333333"/>
          <w:sz w:val="48"/>
          <w:szCs w:val="48"/>
          <w:shd w:val="clear" w:color="auto" w:fill="FFFFFF"/>
        </w:rPr>
        <w:drawing>
          <wp:inline distT="0" distB="0" distL="0" distR="0" wp14:anchorId="19796272" wp14:editId="60C25DB8">
            <wp:extent cx="5257800" cy="35052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907" cy="350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FD86AFB" w14:textId="77777777" w:rsidR="00E718D8" w:rsidRDefault="00E718D8" w:rsidP="00E718D8">
      <w:pPr>
        <w:jc w:val="center"/>
        <w:outlineLvl w:val="0"/>
        <w:rPr>
          <w:rFonts w:ascii="宋体" w:eastAsia="宋体" w:hAnsi="宋体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6C8CE3F7" w14:textId="77777777" w:rsidR="00E718D8" w:rsidRPr="00EB429D" w:rsidRDefault="00E718D8" w:rsidP="00E718D8">
      <w:pPr>
        <w:jc w:val="center"/>
        <w:outlineLvl w:val="0"/>
        <w:rPr>
          <w:rFonts w:ascii="宋体" w:eastAsia="宋体" w:hAnsi="宋体" w:cs="Arial"/>
          <w:b/>
          <w:bCs/>
          <w:color w:val="000000" w:themeColor="text1"/>
          <w:sz w:val="44"/>
          <w:szCs w:val="44"/>
          <w:shd w:val="clear" w:color="auto" w:fill="FFFFFF"/>
          <w:lang w:val="de-DE"/>
        </w:rPr>
      </w:pPr>
      <w:r w:rsidRPr="00EB429D">
        <w:rPr>
          <w:rFonts w:ascii="宋体" w:eastAsia="宋体" w:hAnsi="宋体"/>
          <w:b/>
          <w:bCs/>
          <w:color w:val="000000" w:themeColor="text1"/>
          <w:sz w:val="44"/>
          <w:szCs w:val="44"/>
          <w:shd w:val="clear" w:color="auto" w:fill="FFFFFF"/>
          <w:lang w:val="de-DE"/>
        </w:rPr>
        <w:t>Duale Hochschule Baden-W</w:t>
      </w:r>
      <w:r>
        <w:rPr>
          <w:rFonts w:ascii="宋体" w:eastAsia="宋体" w:hAnsi="宋体"/>
          <w:b/>
          <w:bCs/>
          <w:color w:val="000000" w:themeColor="text1"/>
          <w:sz w:val="44"/>
          <w:szCs w:val="44"/>
          <w:shd w:val="clear" w:color="auto" w:fill="FFFFFF"/>
          <w:lang w:val="de-DE"/>
        </w:rPr>
        <w:t>ü</w:t>
      </w:r>
      <w:r w:rsidRPr="00EB429D">
        <w:rPr>
          <w:rFonts w:ascii="宋体" w:eastAsia="宋体" w:hAnsi="宋体"/>
          <w:b/>
          <w:bCs/>
          <w:color w:val="000000" w:themeColor="text1"/>
          <w:sz w:val="44"/>
          <w:szCs w:val="44"/>
          <w:shd w:val="clear" w:color="auto" w:fill="FFFFFF"/>
          <w:lang w:val="de-DE"/>
        </w:rPr>
        <w:t>rttemberg</w:t>
      </w:r>
    </w:p>
    <w:p w14:paraId="74127130" w14:textId="77777777" w:rsidR="00E718D8" w:rsidRDefault="00E718D8" w:rsidP="00E718D8">
      <w:pPr>
        <w:jc w:val="center"/>
        <w:outlineLvl w:val="0"/>
        <w:rPr>
          <w:rFonts w:ascii="宋体" w:eastAsia="宋体" w:hAnsi="宋体" w:cs="Arial"/>
          <w:b/>
          <w:color w:val="333333"/>
          <w:sz w:val="48"/>
          <w:szCs w:val="48"/>
          <w:shd w:val="clear" w:color="auto" w:fill="FFFFFF"/>
        </w:rPr>
      </w:pPr>
      <w:r>
        <w:rPr>
          <w:rFonts w:ascii="宋体" w:eastAsia="宋体" w:hAnsi="宋体" w:cs="Arial" w:hint="eastAsia"/>
          <w:b/>
          <w:color w:val="333333"/>
          <w:sz w:val="48"/>
          <w:szCs w:val="48"/>
          <w:shd w:val="clear" w:color="auto" w:fill="FFFFFF"/>
        </w:rPr>
        <w:t>巴登符腾堡双元制大学</w:t>
      </w:r>
    </w:p>
    <w:p w14:paraId="028D4563" w14:textId="77777777" w:rsidR="00E718D8" w:rsidRPr="00F92157" w:rsidRDefault="00E718D8" w:rsidP="00E718D8">
      <w:pPr>
        <w:jc w:val="center"/>
        <w:outlineLvl w:val="0"/>
        <w:rPr>
          <w:rFonts w:ascii="宋体" w:eastAsia="宋体" w:hAnsi="宋体" w:cs="Arial"/>
          <w:b/>
          <w:color w:val="333333"/>
          <w:sz w:val="48"/>
          <w:szCs w:val="48"/>
          <w:shd w:val="clear" w:color="auto" w:fill="FFFFFF"/>
        </w:rPr>
      </w:pPr>
    </w:p>
    <w:p w14:paraId="00AB9FB1" w14:textId="77777777" w:rsidR="00E718D8" w:rsidRPr="00303F40" w:rsidRDefault="00E718D8" w:rsidP="00E718D8">
      <w:pPr>
        <w:numPr>
          <w:ilvl w:val="0"/>
          <w:numId w:val="1"/>
        </w:numPr>
        <w:rPr>
          <w:rFonts w:ascii="宋体" w:eastAsia="宋体" w:hAnsi="宋体" w:cs="Arial"/>
          <w:b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Arial" w:hint="eastAsia"/>
          <w:b/>
          <w:color w:val="333333"/>
          <w:sz w:val="30"/>
          <w:szCs w:val="30"/>
          <w:shd w:val="clear" w:color="auto" w:fill="FFFFFF"/>
        </w:rPr>
        <w:t>双元制大学</w:t>
      </w:r>
      <w:r w:rsidRPr="00303F40">
        <w:rPr>
          <w:rFonts w:ascii="宋体" w:eastAsia="宋体" w:hAnsi="宋体" w:cs="Arial" w:hint="eastAsia"/>
          <w:b/>
          <w:color w:val="333333"/>
          <w:sz w:val="30"/>
          <w:szCs w:val="30"/>
          <w:shd w:val="clear" w:color="auto" w:fill="FFFFFF"/>
        </w:rPr>
        <w:t>简介</w:t>
      </w:r>
    </w:p>
    <w:p w14:paraId="5319E9AC" w14:textId="77777777" w:rsidR="00E718D8" w:rsidRPr="0040429F" w:rsidRDefault="00DD1A18" w:rsidP="00E718D8">
      <w:pPr>
        <w:ind w:firstLine="420"/>
        <w:rPr>
          <w:rFonts w:ascii="宋体" w:eastAsia="宋体" w:hAnsi="宋体" w:cs="宋体"/>
          <w:sz w:val="24"/>
        </w:rPr>
      </w:pPr>
      <w:hyperlink r:id="rId8" w:tgtFrame="_blank" w:history="1">
        <w:r w:rsidR="00E718D8" w:rsidRPr="0040429F">
          <w:rPr>
            <w:rStyle w:val="a7"/>
            <w:rFonts w:ascii="宋体" w:eastAsia="宋体" w:hAnsi="宋体"/>
            <w:color w:val="000000" w:themeColor="text1"/>
            <w:sz w:val="24"/>
            <w:u w:val="none"/>
            <w:shd w:val="clear" w:color="auto" w:fill="FFFFFF"/>
          </w:rPr>
          <w:t>德国巴登符腾堡双元制应用技术大学</w:t>
        </w:r>
      </w:hyperlink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（Duale Hochschule Baden-Wuerttemberg，Stuttgart）总部位于巴符州首府斯图加特，成立于2009年</w:t>
      </w:r>
      <w:r w:rsidR="00E718D8" w:rsidRPr="0040429F">
        <w:rPr>
          <w:rFonts w:ascii="宋体" w:eastAsia="宋体" w:hAnsi="宋体" w:hint="eastAsia"/>
          <w:color w:val="333333"/>
          <w:sz w:val="24"/>
          <w:shd w:val="clear" w:color="auto" w:fill="FFFFFF"/>
        </w:rPr>
        <w:t>，</w:t>
      </w:r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是德国第一所理论密切联系实际的双元制大学，</w:t>
      </w:r>
      <w:r w:rsidR="00E718D8" w:rsidRPr="0040429F">
        <w:rPr>
          <w:rFonts w:ascii="宋体" w:eastAsia="宋体" w:hAnsi="宋体" w:hint="eastAsia"/>
          <w:color w:val="333333"/>
          <w:sz w:val="24"/>
          <w:shd w:val="clear" w:color="auto" w:fill="FFFFFF"/>
        </w:rPr>
        <w:t>在德国总共</w:t>
      </w:r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有八个校区，专职教授722名</w:t>
      </w:r>
      <w:r w:rsidR="00E718D8" w:rsidRPr="0040429F">
        <w:rPr>
          <w:rFonts w:ascii="宋体" w:eastAsia="宋体" w:hAnsi="宋体" w:hint="eastAsia"/>
          <w:color w:val="333333"/>
          <w:sz w:val="24"/>
          <w:shd w:val="clear" w:color="auto" w:fill="FFFFFF"/>
        </w:rPr>
        <w:t>，</w:t>
      </w:r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在校学生29000多名，每年新招学生约9000名</w:t>
      </w:r>
      <w:r w:rsidR="00E718D8" w:rsidRPr="0040429F">
        <w:rPr>
          <w:rFonts w:ascii="宋体" w:eastAsia="宋体" w:hAnsi="宋体" w:hint="eastAsia"/>
          <w:color w:val="333333"/>
          <w:sz w:val="24"/>
          <w:shd w:val="clear" w:color="auto" w:fill="FFFFFF"/>
        </w:rPr>
        <w:t>,目前</w:t>
      </w:r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已有10万多毕业生</w:t>
      </w:r>
      <w:r w:rsidR="00E718D8" w:rsidRPr="0040429F">
        <w:rPr>
          <w:rFonts w:ascii="宋体" w:eastAsia="宋体" w:hAnsi="宋体" w:hint="eastAsia"/>
          <w:color w:val="333333"/>
          <w:sz w:val="24"/>
          <w:shd w:val="clear" w:color="auto" w:fill="FFFFFF"/>
        </w:rPr>
        <w:t>。</w:t>
      </w:r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在技术、经济、社会三大领域设有22个专业、79个专业方向，是巴符州大型高校之一。大学与</w:t>
      </w:r>
      <w:r w:rsidR="00E718D8" w:rsidRPr="0040429F">
        <w:rPr>
          <w:rFonts w:ascii="宋体" w:eastAsia="宋体" w:hAnsi="宋体" w:hint="eastAsia"/>
          <w:color w:val="333333"/>
          <w:sz w:val="24"/>
          <w:shd w:val="clear" w:color="auto" w:fill="FFFFFF"/>
        </w:rPr>
        <w:t>9</w:t>
      </w:r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000多家企业建立合作关系，包括</w:t>
      </w:r>
      <w:r w:rsidR="00E718D8" w:rsidRPr="0040429F">
        <w:rPr>
          <w:rFonts w:ascii="宋体" w:eastAsia="宋体" w:hAnsi="宋体" w:hint="eastAsia"/>
          <w:color w:val="333333"/>
          <w:sz w:val="24"/>
          <w:shd w:val="clear" w:color="auto" w:fill="FFFFFF"/>
        </w:rPr>
        <w:t>宝马、</w:t>
      </w:r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奔驰、西门子、</w:t>
      </w:r>
      <w:r w:rsidR="00E718D8" w:rsidRPr="0040429F">
        <w:rPr>
          <w:rFonts w:ascii="宋体" w:eastAsia="宋体" w:hAnsi="宋体" w:hint="eastAsia"/>
          <w:color w:val="333333"/>
          <w:sz w:val="24"/>
          <w:shd w:val="clear" w:color="auto" w:fill="FFFFFF"/>
        </w:rPr>
        <w:t>奥迪、</w:t>
      </w:r>
      <w:r w:rsidR="00E718D8" w:rsidRPr="0040429F">
        <w:rPr>
          <w:rFonts w:ascii="宋体" w:eastAsia="宋体" w:hAnsi="宋体"/>
          <w:color w:val="333333"/>
          <w:sz w:val="24"/>
          <w:shd w:val="clear" w:color="auto" w:fill="FFFFFF"/>
        </w:rPr>
        <w:t>保时捷、汉莎航空、德意志银行、德国邮政、德国铁路等。</w:t>
      </w:r>
    </w:p>
    <w:p w14:paraId="242647F1" w14:textId="77777777" w:rsidR="00E718D8" w:rsidRPr="0040429F" w:rsidRDefault="00E718D8" w:rsidP="00E718D8">
      <w:pPr>
        <w:rPr>
          <w:rFonts w:ascii="宋体" w:eastAsia="宋体" w:hAnsi="宋体" w:cs="宋体"/>
          <w:sz w:val="24"/>
        </w:rPr>
      </w:pPr>
    </w:p>
    <w:p w14:paraId="6BA2B4D3" w14:textId="77777777" w:rsidR="00E718D8" w:rsidRPr="0040429F" w:rsidRDefault="00E718D8" w:rsidP="0040429F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</w:rPr>
      </w:pPr>
      <w:r w:rsidRPr="0040429F">
        <w:rPr>
          <w:rFonts w:ascii="宋体" w:eastAsia="宋体" w:hAnsi="宋体" w:cs="宋体" w:hint="eastAsia"/>
          <w:color w:val="333333"/>
          <w:kern w:val="0"/>
          <w:sz w:val="24"/>
        </w:rPr>
        <w:t>DHBW</w:t>
      </w:r>
      <w:r w:rsidRPr="0040429F">
        <w:rPr>
          <w:rFonts w:ascii="宋体" w:eastAsia="宋体" w:hAnsi="宋体" w:cs="宋体"/>
          <w:color w:val="333333"/>
          <w:kern w:val="0"/>
          <w:sz w:val="24"/>
        </w:rPr>
        <w:t>大学在经济系、技术系和社会系开设本科和硕士专业100多个</w:t>
      </w:r>
      <w:r w:rsidRPr="0040429F">
        <w:rPr>
          <w:rFonts w:ascii="宋体" w:eastAsia="宋体" w:hAnsi="宋体" w:cs="宋体" w:hint="eastAsia"/>
          <w:color w:val="333333"/>
          <w:kern w:val="0"/>
          <w:sz w:val="24"/>
        </w:rPr>
        <w:t>：</w:t>
      </w:r>
      <w:r w:rsidRPr="0040429F">
        <w:rPr>
          <w:rFonts w:ascii="宋体" w:eastAsia="宋体" w:hAnsi="宋体" w:cs="宋体"/>
          <w:color w:val="333333"/>
          <w:kern w:val="0"/>
          <w:sz w:val="24"/>
        </w:rPr>
        <w:t>大学监事会主席</w:t>
      </w:r>
      <w:r w:rsidRPr="0040429F">
        <w:rPr>
          <w:rFonts w:ascii="宋体" w:eastAsia="宋体" w:hAnsi="宋体" w:cs="宋体" w:hint="eastAsia"/>
          <w:color w:val="333333"/>
          <w:kern w:val="0"/>
          <w:sz w:val="24"/>
        </w:rPr>
        <w:t>包括</w:t>
      </w:r>
      <w:r w:rsidRPr="0040429F">
        <w:rPr>
          <w:rFonts w:ascii="宋体" w:eastAsia="宋体" w:hAnsi="宋体" w:cs="宋体"/>
          <w:color w:val="333333"/>
          <w:kern w:val="0"/>
          <w:sz w:val="24"/>
        </w:rPr>
        <w:t>：戴姆勒集团董事会成员Wilfried Porth</w:t>
      </w:r>
      <w:r w:rsidRPr="0040429F">
        <w:rPr>
          <w:rFonts w:ascii="宋体" w:eastAsia="宋体" w:hAnsi="宋体" w:cs="宋体" w:hint="eastAsia"/>
          <w:color w:val="333333"/>
          <w:kern w:val="0"/>
          <w:sz w:val="24"/>
        </w:rPr>
        <w:t>以及</w:t>
      </w:r>
      <w:r w:rsidRPr="0040429F">
        <w:rPr>
          <w:rFonts w:ascii="宋体" w:eastAsia="宋体" w:hAnsi="宋体" w:cs="宋体"/>
          <w:color w:val="333333"/>
          <w:kern w:val="0"/>
          <w:sz w:val="24"/>
        </w:rPr>
        <w:t>巴符州教育部长Theresia Bauer</w:t>
      </w:r>
      <w:r w:rsidRPr="0040429F">
        <w:rPr>
          <w:rFonts w:ascii="宋体" w:eastAsia="宋体" w:hAnsi="宋体" w:cs="宋体" w:hint="eastAsia"/>
          <w:color w:val="333333"/>
          <w:kern w:val="0"/>
          <w:sz w:val="24"/>
        </w:rPr>
        <w:t>。</w:t>
      </w:r>
    </w:p>
    <w:p w14:paraId="5BFFFF68" w14:textId="77777777" w:rsidR="00E718D8" w:rsidRDefault="00E718D8" w:rsidP="00E718D8">
      <w:pPr>
        <w:rPr>
          <w:rFonts w:ascii="宋体" w:eastAsia="宋体" w:hAnsi="宋体" w:cs="宋体"/>
          <w:sz w:val="24"/>
        </w:rPr>
      </w:pPr>
    </w:p>
    <w:p w14:paraId="06F62342" w14:textId="77777777" w:rsidR="00E718D8" w:rsidRDefault="00E718D8" w:rsidP="00E718D8">
      <w:pPr>
        <w:rPr>
          <w:rFonts w:ascii="宋体" w:eastAsia="宋体" w:hAnsi="宋体" w:cs="宋体"/>
          <w:sz w:val="24"/>
        </w:rPr>
      </w:pPr>
    </w:p>
    <w:p w14:paraId="2BB352BA" w14:textId="77777777" w:rsidR="00E718D8" w:rsidRDefault="00E718D8" w:rsidP="00E718D8">
      <w:pPr>
        <w:rPr>
          <w:rFonts w:ascii="宋体" w:eastAsia="宋体" w:hAnsi="宋体" w:cs="宋体"/>
          <w:sz w:val="24"/>
        </w:rPr>
      </w:pPr>
    </w:p>
    <w:p w14:paraId="771147ED" w14:textId="77777777" w:rsidR="005E3C91" w:rsidRPr="00E718D8" w:rsidRDefault="00DD1A18"/>
    <w:sectPr w:rsidR="005E3C91" w:rsidRPr="00E71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89CA" w14:textId="77777777" w:rsidR="00DD1A18" w:rsidRDefault="00DD1A18" w:rsidP="00E718D8">
      <w:r>
        <w:separator/>
      </w:r>
    </w:p>
  </w:endnote>
  <w:endnote w:type="continuationSeparator" w:id="0">
    <w:p w14:paraId="79BFDF9F" w14:textId="77777777" w:rsidR="00DD1A18" w:rsidRDefault="00DD1A18" w:rsidP="00E7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3A85" w14:textId="77777777" w:rsidR="00DD1A18" w:rsidRDefault="00DD1A18" w:rsidP="00E718D8">
      <w:r>
        <w:separator/>
      </w:r>
    </w:p>
  </w:footnote>
  <w:footnote w:type="continuationSeparator" w:id="0">
    <w:p w14:paraId="10123C50" w14:textId="77777777" w:rsidR="00DD1A18" w:rsidRDefault="00DD1A18" w:rsidP="00E7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029F"/>
    <w:multiLevelType w:val="multilevel"/>
    <w:tmpl w:val="722A029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4B"/>
    <w:rsid w:val="0000644B"/>
    <w:rsid w:val="002D0F5A"/>
    <w:rsid w:val="002D37F4"/>
    <w:rsid w:val="0040429F"/>
    <w:rsid w:val="00896119"/>
    <w:rsid w:val="00DD1A18"/>
    <w:rsid w:val="00E718D8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BDC34"/>
  <w15:chartTrackingRefBased/>
  <w15:docId w15:val="{E877AE98-EC21-4117-BC01-A4474FD2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8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8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8D8"/>
    <w:rPr>
      <w:sz w:val="18"/>
      <w:szCs w:val="18"/>
    </w:rPr>
  </w:style>
  <w:style w:type="character" w:styleId="a7">
    <w:name w:val="Hyperlink"/>
    <w:basedOn w:val="a0"/>
    <w:uiPriority w:val="99"/>
    <w:unhideWhenUsed/>
    <w:rsid w:val="00E71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BE%B7%E5%9B%BD%E5%B7%B4%E7%99%BB%E7%AC%A6%E8%85%BE%E5%A0%A1%E5%8F%8C%E5%85%83%E5%88%B6%E5%BA%94%E7%94%A8%E6%8A%80%E6%9C%AF%E5%A4%A7%E5%AD%A6/174013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羽宸</dc:creator>
  <cp:keywords/>
  <dc:description/>
  <cp:lastModifiedBy>羽宸</cp:lastModifiedBy>
  <cp:revision>3</cp:revision>
  <dcterms:created xsi:type="dcterms:W3CDTF">2022-02-15T02:42:00Z</dcterms:created>
  <dcterms:modified xsi:type="dcterms:W3CDTF">2022-02-15T02:43:00Z</dcterms:modified>
</cp:coreProperties>
</file>